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134 vom 22. Dezember 2025</w:t>
      </w:r>
    </w:p>
    <w:p>
      <w:r>
        <w:t>SZ Gerichte, 2025-12-22, DE</w:t>
      </w:r>
    </w:p>
    <w:p>
      <w:r>
        <w:rPr>
          <w:b/>
        </w:rPr>
        <w:t xml:space="preserve">Quelle: </w:t>
      </w:r>
      <w:r>
        <w:t>https://mcp.opencaselaw.ch/entscheid/sz_gerichte_BEK 2025 134</w:t>
      </w:r>
    </w:p>
    <w:p>
      <w:r>
        <w:t>FR: SZ_GERICHTE BEK 2025 134 du 22 décembre 2025</w:t>
      </w:r>
    </w:p>
    <w:p>
      <w:r>
        <w:t>IT: SZ_GERICHTE BEK 2025 134 del 22 dicembre 2025</w:t>
      </w:r>
    </w:p>
    <w:p>
      <w:pPr>
        <w:pStyle w:val="Heading2"/>
      </w:pPr>
      <w:r>
        <w:t>Regeste</w:t>
      </w:r>
    </w:p>
    <w:p>
      <w:r>
        <w:t>Einstellung Strafverfahren | Staatsanwaltschaft</w:t>
      </w:r>
    </w:p>
    <w:p>
      <w:pPr>
        <w:pStyle w:val="Heading2"/>
      </w:pPr>
      <w:r>
        <w:t>Erwägungen</w:t>
      </w:r>
    </w:p>
    <w:p>
      <w:r>
        <w:rPr>
          <w:b/>
        </w:rPr>
        <w:t>E. 1</w:t>
      </w:r>
    </w:p>
    <w:p>
      <w:r>
        <w:t>Staatsanwaltschaft,</w:t>
      </w:r>
    </w:p>
    <w:p>
      <w:r>
        <w:rPr>
          <w:b/>
        </w:rPr>
        <w:t>E. 2</w:t>
      </w:r>
    </w:p>
    <w:p>
      <w:r>
        <w:t>D.________, Beschuldigte und Beschwerdegegnerin, \n \n \n \n \n \n \n \n \n \n \n betreffend \n Einstellung Strafverfahren \n \n \n \n (Beschwerde gegen die Einstellungsverfügung der Staatsanwaltschaft vom 24. September 2025, SU 2023 6476);- \n \n hat die Beschwerdekammer, \n \n nachdem sich ergeben und in Erwägung: \n 1. a) Mit Eingabe vom 14. Juli 2023 erstattete die Privatklägerin Strafanzeige und – soweit nötig – Strafantrag gegen die Beschuldigte sowie allenfalls weitere Beteiligte wegen Veruntreuung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